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</w:rPr>
      </w:pPr>
      <w:r>
        <w:rPr>
          <w:b/>
        </w:rPr>
        <w:t>ДОГОВОР НА ОКАЗАНИЕ ВОЗМЕЗДНЫХ УСЛУГ №___________</w:t>
      </w:r>
    </w:p>
    <w:p>
      <w:pPr>
        <w:pStyle w:val="Normal"/>
        <w:jc w:val="center"/>
        <w:rPr>
          <w:lang w:val="x-none" w:eastAsia="x-none"/>
        </w:rPr>
      </w:pPr>
      <w:r>
        <w:rPr>
          <w:lang w:val="x-none" w:eastAsia="x-none"/>
        </w:rPr>
        <w:t>по установлению карантинного фитосанитарного состояния подкарантинной продукции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г. Казань</w:t>
        <w:tab/>
        <w:tab/>
        <w:tab/>
        <w:tab/>
        <w:tab/>
        <w:tab/>
        <w:tab/>
        <w:t>«_____»_____________20______г.</w:t>
      </w:r>
    </w:p>
    <w:p>
      <w:pPr>
        <w:pStyle w:val="Normal"/>
        <w:jc w:val="both"/>
        <w:rPr/>
      </w:pPr>
      <w:r>
        <w:rPr/>
      </w:r>
    </w:p>
    <w:p>
      <w:pPr>
        <w:pStyle w:val="Normal"/>
        <w:ind w:firstLine="709"/>
        <w:jc w:val="both"/>
        <w:rPr/>
      </w:pPr>
      <w:r>
        <w:rPr/>
        <w:t>Федеральное государственное бюджетное учреждение «Федеральный центр охраны здоровья животных» (ФГБУ «ВНИИЗЖ»), именуемое в дальнейшем «Исполнитель», в лице директора Удмуртского филиала ФГБУ «ВНИИЗЖ»________________________, действующего на основании _______________________________________________________, с одной стороны, и ____________________________________________________________, именуемое в дальнейшем «Заказчик», в лице _______________________________________, действующего на основании ________________________________________________________, с другой стороны, совместно именуемые Стороны, заключили настоящий Договор на оказание возмездных услуг (далее – Договор) о нижеследующем:</w:t>
      </w:r>
    </w:p>
    <w:p>
      <w:pPr>
        <w:pStyle w:val="Normal"/>
        <w:ind w:firstLine="709"/>
        <w:jc w:val="both"/>
        <w:rPr/>
      </w:pPr>
      <w:r>
        <w:rPr/>
      </w:r>
    </w:p>
    <w:p>
      <w:pPr>
        <w:pStyle w:val="Normal"/>
        <w:numPr>
          <w:ilvl w:val="0"/>
          <w:numId w:val="1"/>
        </w:numPr>
        <w:ind w:hanging="0" w:left="0"/>
        <w:jc w:val="center"/>
        <w:rPr>
          <w:b/>
        </w:rPr>
      </w:pPr>
      <w:r>
        <w:rPr>
          <w:b/>
        </w:rPr>
        <w:t>Предмет договора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993" w:leader="none"/>
          <w:tab w:val="left" w:pos="1134" w:leader="none"/>
        </w:tabs>
        <w:ind w:firstLine="709" w:left="0"/>
        <w:jc w:val="both"/>
        <w:rPr/>
      </w:pPr>
      <w:r>
        <w:rPr/>
        <w:t>Исполнитель по заявкам Заказчика принимает на себя обязательства в течение срока действия настоящего договора оказать услуги и провести работы, указанные в п.1.3 настоящего договора (далее услуги и работы), а Заказчик обязуется принять и оплатить услуги и работы Исполнителя на условиях и в порядке, предусмотренных настоящим Договором.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993" w:leader="none"/>
          <w:tab w:val="left" w:pos="1134" w:leader="none"/>
        </w:tabs>
        <w:ind w:firstLine="709" w:left="0"/>
        <w:jc w:val="both"/>
        <w:rPr/>
      </w:pPr>
      <w:r>
        <w:rPr/>
        <w:t>Заказчик вправе в течение срока действия настоящего Договора предоставлять Исполнителю заявки (заявления) неограниченное количество раз.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993" w:leader="none"/>
          <w:tab w:val="left" w:pos="1134" w:leader="none"/>
        </w:tabs>
        <w:ind w:firstLine="709" w:left="0"/>
        <w:jc w:val="both"/>
        <w:rPr/>
      </w:pPr>
      <w:r>
        <w:rPr/>
        <w:t>Исполнитель обязуется в рамках настоящего Договора оказать Заказчику по заявкам следующие услуги и выполнить следующую работу:</w:t>
      </w:r>
    </w:p>
    <w:p>
      <w:pPr>
        <w:pStyle w:val="Normal"/>
        <w:tabs>
          <w:tab w:val="clear" w:pos="708"/>
          <w:tab w:val="left" w:pos="993" w:leader="none"/>
          <w:tab w:val="left" w:pos="1134" w:leader="none"/>
        </w:tabs>
        <w:ind w:firstLine="709"/>
        <w:jc w:val="both"/>
        <w:rPr/>
      </w:pPr>
      <w:r>
        <w:rPr/>
        <w:t>- услуги по отбору образцов на основании заявки и плана отбора образцов с последующим лабораторным исследованием (испытанием) отобранных образцов на основании задания на исследование (испытание), или проведение лабораторных исследований (испытаний) образцов, отобранных и поданных Заказчиком Исполнителю на основании заявки(-ок);</w:t>
      </w:r>
    </w:p>
    <w:p>
      <w:pPr>
        <w:pStyle w:val="Normal"/>
        <w:tabs>
          <w:tab w:val="clear" w:pos="708"/>
          <w:tab w:val="left" w:pos="993" w:leader="none"/>
          <w:tab w:val="left" w:pos="1134" w:leader="none"/>
        </w:tabs>
        <w:ind w:firstLine="709"/>
        <w:jc w:val="both"/>
        <w:rPr/>
      </w:pPr>
      <w:r>
        <w:rPr/>
        <w:t xml:space="preserve">- услуги по установлению карантинного фитосанитарного состояния подкарантинной продукции (при необходимости - с осуществлением отбора образцов и/или визуальной проверки и проведением лабораторных исследований (испытаний)); </w:t>
      </w:r>
    </w:p>
    <w:p>
      <w:pPr>
        <w:pStyle w:val="Normal"/>
        <w:tabs>
          <w:tab w:val="clear" w:pos="708"/>
          <w:tab w:val="left" w:pos="993" w:leader="none"/>
          <w:tab w:val="left" w:pos="1134" w:leader="none"/>
        </w:tabs>
        <w:ind w:firstLine="709"/>
        <w:jc w:val="both"/>
        <w:rPr/>
      </w:pPr>
      <w:r>
        <w:rPr/>
        <w:t>- оказание консультационных, методических, информационных услуг.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993" w:leader="none"/>
          <w:tab w:val="left" w:pos="1134" w:leader="none"/>
        </w:tabs>
        <w:ind w:firstLine="709" w:left="0"/>
        <w:jc w:val="both"/>
        <w:rPr/>
      </w:pPr>
      <w:r>
        <w:rPr/>
        <w:t xml:space="preserve">Качество услуг должно соответствовать нормам действующих нормативных правовых актов Российской Федерации и иной нормативной документации, регламентирующей проведение лабораторных исследований (испытаний), отбор образцов, проведение работ по установлению карантинного фитосанитарного состояния подкарантинной продукции. 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993" w:leader="none"/>
          <w:tab w:val="left" w:pos="1134" w:leader="none"/>
        </w:tabs>
        <w:ind w:firstLine="709" w:left="0"/>
        <w:jc w:val="both"/>
        <w:rPr/>
      </w:pPr>
      <w:r>
        <w:rPr/>
        <w:t>Испытательная лаборатория Исполнителя аккредитована Федеральной службой по аккредитации в национальной системе аккредитации в качестве испытательной лаборатории.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993" w:leader="none"/>
          <w:tab w:val="left" w:pos="1134" w:leader="none"/>
        </w:tabs>
        <w:ind w:firstLine="709" w:left="0"/>
        <w:jc w:val="both"/>
        <w:rPr/>
      </w:pPr>
      <w:r>
        <w:rPr/>
        <w:t>Место доставки образцов подкарантинной продукции и место проведения исследований (испытаний): Татарская испытательная лаборатория ФГБУ «ВНИИЗЖ». За исключением проведения отбора образцов и визуальной проверки – по месту нахождения образцов.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993" w:leader="none"/>
          <w:tab w:val="left" w:pos="1134" w:leader="none"/>
        </w:tabs>
        <w:ind w:firstLine="709" w:left="0"/>
        <w:jc w:val="both"/>
        <w:rPr/>
      </w:pPr>
      <w:r>
        <w:rPr/>
        <w:t>В случае возникновения при проведении работ или оказании услуг непредвиденных обстоятельств, в том числе при необходимости проведения сложных и длительных исследований, включая случаи выявления при исследовании (испытании) инфекций, вредных организмов и карантинных объектов, Исполнитель вправе продлить срок оказания услуг или проведения работ по своему усмотрению, уведомив Заказчика в течение 3 (трёх) рабочих дней с даты возникновения непредвиденных обстоятельств.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993" w:leader="none"/>
          <w:tab w:val="left" w:pos="1134" w:leader="none"/>
        </w:tabs>
        <w:ind w:firstLine="709" w:left="0"/>
        <w:jc w:val="both"/>
        <w:rPr/>
      </w:pPr>
      <w:r>
        <w:rPr/>
        <w:t>Заказчик определяет хранение проб (образцов) на время оказания услуг у Исполнителя. Предоставленные на лабораторные исследования (испытания) пробы (образцы) списываются и утилизируются Исполнителем после проведения испытаний (исследований) и оформления протокола и/или других форм отчета о результатах. Предоставленные Заказчиком Исполнителю на исследования (испытания) образцы (пробы) могут быть возвращены по требованию Заказчика. По решению Исполнителя требование о возврате проб (образцов) может быть отклонено по объективным причинам (образцы (пробы) израсходовались, пришли в негодность и т.п.). Не подлежат возврату образцы заражённой и засорённой подкарантинной продукции. Требование о возврате контрольных образцов и остатка сданной для исследования образца фиксируется Заказчиком в заявке в день ее оформления и считается выполненным Исполнителем с момента передачи Заказчику образцов и соответствующего акта возврата.</w:t>
      </w:r>
    </w:p>
    <w:p>
      <w:pPr>
        <w:pStyle w:val="Normal"/>
        <w:ind w:left="709"/>
        <w:jc w:val="both"/>
        <w:rPr/>
      </w:pPr>
      <w:r>
        <w:rPr/>
      </w:r>
    </w:p>
    <w:p>
      <w:pPr>
        <w:pStyle w:val="Normal"/>
        <w:numPr>
          <w:ilvl w:val="0"/>
          <w:numId w:val="1"/>
        </w:numPr>
        <w:ind w:hanging="0" w:left="0"/>
        <w:jc w:val="center"/>
        <w:rPr>
          <w:b/>
        </w:rPr>
      </w:pPr>
      <w:r>
        <w:rPr>
          <w:b/>
        </w:rPr>
        <w:t>Права и обязанности сторон</w:t>
      </w:r>
    </w:p>
    <w:p>
      <w:pPr>
        <w:pStyle w:val="ListParagraph"/>
        <w:numPr>
          <w:ilvl w:val="1"/>
          <w:numId w:val="3"/>
        </w:numPr>
        <w:suppressAutoHyphens w:val="false"/>
        <w:spacing w:before="0" w:after="0"/>
        <w:ind w:hanging="425" w:left="1134"/>
        <w:contextualSpacing/>
        <w:rPr/>
      </w:pPr>
      <w:r>
        <w:rPr/>
        <w:t>Исполнитель обязуется:</w:t>
      </w:r>
    </w:p>
    <w:p>
      <w:pPr>
        <w:pStyle w:val="ListParagraph"/>
        <w:numPr>
          <w:ilvl w:val="2"/>
          <w:numId w:val="4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Рассмотреть и зарегистрировать заявку (заявки) на установление карантинного фитосанитарного состояния подкарантинной продукции.</w:t>
      </w:r>
    </w:p>
    <w:p>
      <w:pPr>
        <w:pStyle w:val="ListParagraph"/>
        <w:numPr>
          <w:ilvl w:val="2"/>
          <w:numId w:val="4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Провести все работы/услуги или их часть согласно заявке: отбор образцов и/или визуальную проверку, исследования (испытания) образцов для установления карантинного фитосанитарного состояния подкарантинной продукции.</w:t>
      </w:r>
    </w:p>
    <w:p>
      <w:pPr>
        <w:pStyle w:val="ListParagraph"/>
        <w:numPr>
          <w:ilvl w:val="2"/>
          <w:numId w:val="4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После проведения исследований (испытаний) при условии оплаты стоимости исследований согласно п. 3.3. Договора, выдать Заказчику или его уполномоченному представителю (нарочному) протокол исследований (испытаний), заключение о карантинном фитосанитарном состоянии подкарантинной продукции и два экземпляра акта об оказании услуг.</w:t>
      </w:r>
    </w:p>
    <w:p>
      <w:pPr>
        <w:pStyle w:val="Normal"/>
        <w:numPr>
          <w:ilvl w:val="1"/>
          <w:numId w:val="3"/>
        </w:numPr>
        <w:ind w:hanging="425" w:left="1134"/>
        <w:jc w:val="both"/>
        <w:rPr/>
      </w:pPr>
      <w:r>
        <w:rPr/>
        <w:t>Исполнитель вправе:</w:t>
      </w:r>
    </w:p>
    <w:p>
      <w:pPr>
        <w:pStyle w:val="Normal"/>
        <w:numPr>
          <w:ilvl w:val="2"/>
          <w:numId w:val="5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Оказывать Услуги своими силами и средствами. В случае необходимости Исполнитель имеет право привлекать к выполнению условий Договора третьих лиц (с согласия Заказчика).</w:t>
      </w:r>
    </w:p>
    <w:p>
      <w:pPr>
        <w:pStyle w:val="Normal"/>
        <w:numPr>
          <w:ilvl w:val="2"/>
          <w:numId w:val="5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Исполнитель вправе досрочно оказать услуги и выполнить работы по настоящему Договору.</w:t>
      </w:r>
    </w:p>
    <w:p>
      <w:pPr>
        <w:pStyle w:val="Normal"/>
        <w:numPr>
          <w:ilvl w:val="2"/>
          <w:numId w:val="5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Исполнитель вправе продлить срок исследований по заявке в случае, указанном в               п. 1.7. Договора.</w:t>
      </w:r>
    </w:p>
    <w:p>
      <w:pPr>
        <w:pStyle w:val="Normal"/>
        <w:numPr>
          <w:ilvl w:val="2"/>
          <w:numId w:val="5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Требовать от Заказчика предоставления необходимых сведений и документов, снимать копии предоставленных Заказчиком документов в целях исполнения обязательств по настоящему Договору.</w:t>
      </w:r>
    </w:p>
    <w:p>
      <w:pPr>
        <w:pStyle w:val="Normal"/>
        <w:numPr>
          <w:ilvl w:val="2"/>
          <w:numId w:val="5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 xml:space="preserve">Не принимать от Заказчика пробы (образцы) на исследования (испытания), если при этом произошло хотя бы одно из следующих событий (действий): </w:t>
      </w:r>
    </w:p>
    <w:p>
      <w:pPr>
        <w:pStyle w:val="Normal"/>
        <w:ind w:firstLine="709"/>
        <w:jc w:val="both"/>
        <w:rPr/>
      </w:pPr>
      <w:r>
        <w:rPr/>
        <w:t>А) невозможно идентифицировать пробу, доставленную Заказчиком;</w:t>
      </w:r>
    </w:p>
    <w:p>
      <w:pPr>
        <w:pStyle w:val="Normal"/>
        <w:ind w:firstLine="709"/>
        <w:jc w:val="both"/>
        <w:rPr/>
      </w:pPr>
      <w:r>
        <w:rPr/>
        <w:t xml:space="preserve">Б) нарушены условия транспортировки пробы или сроки доставки пробы, установленные нормативной документацией; </w:t>
      </w:r>
    </w:p>
    <w:p>
      <w:pPr>
        <w:pStyle w:val="Normal"/>
        <w:ind w:firstLine="709"/>
        <w:jc w:val="both"/>
        <w:rPr/>
      </w:pPr>
      <w:r>
        <w:rPr/>
        <w:t xml:space="preserve">В) объем или масса пробы недостаточны для проведения заявленных исследований; </w:t>
      </w:r>
    </w:p>
    <w:p>
      <w:pPr>
        <w:pStyle w:val="Normal"/>
        <w:ind w:firstLine="709"/>
        <w:jc w:val="both"/>
        <w:rPr/>
      </w:pPr>
      <w:r>
        <w:rPr/>
        <w:t>Г) повреждена целостность упаковки доставленного образца.</w:t>
      </w:r>
    </w:p>
    <w:p>
      <w:pPr>
        <w:pStyle w:val="Normal"/>
        <w:numPr>
          <w:ilvl w:val="1"/>
          <w:numId w:val="3"/>
        </w:numPr>
        <w:ind w:hanging="425" w:left="1134"/>
        <w:jc w:val="both"/>
        <w:rPr/>
      </w:pPr>
      <w:r>
        <w:rPr/>
        <w:t>Заказчик обязуется:</w:t>
      </w:r>
    </w:p>
    <w:p>
      <w:pPr>
        <w:pStyle w:val="Normal"/>
        <w:numPr>
          <w:ilvl w:val="2"/>
          <w:numId w:val="6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В случае самостоятельного осуществления отбора и/или доставки Исполнителю образцов для исследований (испытаний) и/или визуальной проверки соблюдать требования к условиям отбора, транспортировке и срокам доставки проб согласно нормативной документации.</w:t>
      </w:r>
    </w:p>
    <w:p>
      <w:pPr>
        <w:pStyle w:val="Normal"/>
        <w:numPr>
          <w:ilvl w:val="2"/>
          <w:numId w:val="6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В случае отбора проб (образцов) и/или визуальной проверки Исполнителем по заявке Заказчика предоставить представителю Исполнителя (сотрудник ФГБУ «ВНИИЗЖ») доступ на объект Заказчика для проведения отбора проб (образцов).</w:t>
      </w:r>
    </w:p>
    <w:p>
      <w:pPr>
        <w:pStyle w:val="Normal"/>
        <w:numPr>
          <w:ilvl w:val="2"/>
          <w:numId w:val="6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Оплачивать стоимость услуг Исполнителя в сроки и в порядке, предусмотренные настоящим Договором.</w:t>
      </w:r>
    </w:p>
    <w:p>
      <w:pPr>
        <w:pStyle w:val="Normal"/>
        <w:numPr>
          <w:ilvl w:val="2"/>
          <w:numId w:val="6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Получить протокол исследований или иной документ, подтверждающий выполнение Исполнителем услуг по настоящему Договору.</w:t>
      </w:r>
    </w:p>
    <w:p>
      <w:pPr>
        <w:pStyle w:val="Normal"/>
        <w:numPr>
          <w:ilvl w:val="2"/>
          <w:numId w:val="6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В течение 5 (Пять) рабочих дней с момента получения акта об оказании услуг подписать и вернуть Исполнителю один экземпляр акта об оказании услуг.</w:t>
      </w:r>
    </w:p>
    <w:p>
      <w:pPr>
        <w:pStyle w:val="Normal"/>
        <w:numPr>
          <w:ilvl w:val="2"/>
          <w:numId w:val="6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Предоставлять Исполнителю заявку, оформленную надлежащим образом, а в случае необходимости и иную запрашиваемую документацию.</w:t>
      </w:r>
    </w:p>
    <w:p>
      <w:pPr>
        <w:pStyle w:val="Normal"/>
        <w:numPr>
          <w:ilvl w:val="2"/>
          <w:numId w:val="6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Вся сопроводительная и иная документация к пробам, поступившая от Заказчика, должна быть надлежащим образом оформлена, содержать информацию, необходимую для идентификации проб, а также содержать достоверные данные о Заказчике.</w:t>
      </w:r>
    </w:p>
    <w:p>
      <w:pPr>
        <w:pStyle w:val="Normal"/>
        <w:numPr>
          <w:ilvl w:val="2"/>
          <w:numId w:val="6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Заказчик несет полную ответственность за правильность и достоверность предоставленной Исполнителю информации, указанной в заявке, акте отбора проб и иной сопроводительной документации.</w:t>
      </w:r>
    </w:p>
    <w:p>
      <w:pPr>
        <w:pStyle w:val="Normal"/>
        <w:ind w:left="720"/>
        <w:jc w:val="both"/>
        <w:rPr/>
      </w:pPr>
      <w:r>
        <w:rPr/>
      </w:r>
    </w:p>
    <w:p>
      <w:pPr>
        <w:pStyle w:val="Normal"/>
        <w:numPr>
          <w:ilvl w:val="0"/>
          <w:numId w:val="3"/>
        </w:numPr>
        <w:ind w:hanging="11" w:left="0"/>
        <w:jc w:val="center"/>
        <w:rPr>
          <w:b/>
        </w:rPr>
      </w:pPr>
      <w:r>
        <w:rPr>
          <w:b/>
        </w:rPr>
        <w:t>Цена Договора и порядок расчетов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1134" w:leader="none"/>
        </w:tabs>
        <w:ind w:firstLine="709" w:left="0"/>
        <w:jc w:val="both"/>
        <w:rPr/>
      </w:pPr>
      <w:r>
        <w:rPr/>
        <w:t>В цену Договора входит стоимость услуг по исследованиям (испытаниям) образцов, зарегистрированных Исполнителем на основании заявок, поступивших от Заказчика в течение срока действия настоящего Договора, а также стоимость иных затрат Исполнителя, связанных с оказанием услуг по настоящему Договору (налоги, сборы, стоимость расходных материалов, стоимость услуг Исполнителя по отбору проб (образцов) и транспортировки их в Испытательную лабораторию ФГБУ «ВНИИЗЖ» и/или визуальной проверке и иные расходы).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1134" w:leader="none"/>
        </w:tabs>
        <w:ind w:firstLine="709" w:left="0"/>
        <w:jc w:val="both"/>
        <w:rPr/>
      </w:pPr>
      <w:r>
        <w:rPr/>
        <w:t>Стоимость услуг по заявкам Заказчика на исследования (испытания) образцов,   заявкам на отбор проб (образцов) и/или визуальную проверку, формируется в соответствии с действующим на дату регистрации Исполнителем заявки (заявления) Заказчика Прейскурантом на платные услуги, оказываемые ФГБУ «ВНИИЗЖ», размещённым на официальном сайте учреждения http://www.arriah.ru.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1134" w:leader="none"/>
        </w:tabs>
        <w:ind w:firstLine="709" w:left="0"/>
        <w:jc w:val="both"/>
        <w:rPr/>
      </w:pPr>
      <w:r>
        <w:rPr/>
        <w:t xml:space="preserve">Оплата услуг Исполнителя производится на основании счета, выставленного Исполнителем по заявке Заказчика, в следующем порядке: </w:t>
      </w:r>
    </w:p>
    <w:p>
      <w:pPr>
        <w:pStyle w:val="Normal"/>
        <w:tabs>
          <w:tab w:val="clear" w:pos="708"/>
          <w:tab w:val="left" w:pos="8481" w:leader="none"/>
        </w:tabs>
        <w:ind w:firstLine="709"/>
        <w:jc w:val="both"/>
        <w:rPr/>
      </w:pPr>
      <w:r>
        <w:rPr/>
        <w:t xml:space="preserve">- </w:t>
      </w:r>
      <w:r>
        <w:rPr>
          <w:i/>
        </w:rPr>
        <w:t>для государственных учреждений:</w:t>
      </w:r>
      <w:r>
        <w:rPr/>
        <w:t xml:space="preserve"> Заказчик оплачивает стоимость услуг в размере 30% (Тридцать процентов) стоимости услуг, указанной в счете, в течение 7 (Семь) банковских дней с даты выставления Исполнителем счета. Окончательный расчет в размере 70% (Семьдесят процентов) стоимости услуг, указанной в счете, производится Заказчиком в течение 7 (Семь) банковских дней с момента выдачи Заказчиком протокола испытаний.</w:t>
      </w:r>
    </w:p>
    <w:p>
      <w:pPr>
        <w:pStyle w:val="Normal"/>
        <w:tabs>
          <w:tab w:val="clear" w:pos="708"/>
          <w:tab w:val="left" w:pos="8481" w:leader="none"/>
        </w:tabs>
        <w:ind w:firstLine="709"/>
        <w:jc w:val="both"/>
        <w:rPr/>
      </w:pPr>
      <w:r>
        <w:rPr>
          <w:i/>
        </w:rPr>
        <w:t>- для всех остальных организаций:</w:t>
      </w:r>
      <w:r>
        <w:rPr/>
        <w:t xml:space="preserve"> Заказчик оплачивает услуги в порядке 100% (Сто процентов) стоимости услуг, указанной в счете, в течение 7 (Семь) банковских дней с момента подготовки (выписки) счета Исполнителем.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1134" w:leader="none"/>
        </w:tabs>
        <w:ind w:firstLine="709" w:left="0"/>
        <w:jc w:val="both"/>
        <w:rPr/>
      </w:pPr>
      <w:r>
        <w:rPr/>
        <w:t>Расчеты по настоящему Договору производятся путем безналичного перечисления денежных средств на счет Исполнителя, указанный в настоящем Договоре, либо путем внесения наличных денежных средств в кассу Исполнителя.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1134" w:leader="none"/>
        </w:tabs>
        <w:ind w:firstLine="709" w:left="0"/>
        <w:jc w:val="both"/>
        <w:rPr/>
      </w:pPr>
      <w:r>
        <w:rPr/>
        <w:t xml:space="preserve">По мере необходимости Стороны осуществляют сверку расчётов по Договору с оформлением двустороннего акта сверки расчётов. 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1134" w:leader="none"/>
        </w:tabs>
        <w:ind w:firstLine="709" w:left="0"/>
        <w:jc w:val="both"/>
        <w:rPr/>
      </w:pPr>
      <w:r>
        <w:rPr/>
        <w:t>Стороны договорились, что положения п.1 ст. 317.1 Гражданского кодекса РФ не применяются к отношениям сторон по настоящему договору.</w:t>
      </w:r>
    </w:p>
    <w:p>
      <w:pPr>
        <w:pStyle w:val="Normal"/>
        <w:tabs>
          <w:tab w:val="clear" w:pos="708"/>
          <w:tab w:val="left" w:pos="8481" w:leader="none"/>
        </w:tabs>
        <w:ind w:firstLine="709"/>
        <w:jc w:val="both"/>
        <w:rPr/>
      </w:pPr>
      <w:r>
        <w:rPr/>
      </w:r>
    </w:p>
    <w:p>
      <w:pPr>
        <w:pStyle w:val="Normal"/>
        <w:numPr>
          <w:ilvl w:val="0"/>
          <w:numId w:val="3"/>
        </w:numPr>
        <w:ind w:hanging="0" w:left="0"/>
        <w:jc w:val="center"/>
        <w:rPr>
          <w:b/>
        </w:rPr>
      </w:pPr>
      <w:r>
        <w:rPr>
          <w:b/>
        </w:rPr>
        <w:t>Условия оказания услуг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b/>
          <w:lang w:eastAsia="ru-RU"/>
        </w:rPr>
      </w:pPr>
      <w:r>
        <w:rPr>
          <w:lang w:eastAsia="ru-RU"/>
        </w:rPr>
        <w:t>Заявки оформляются в письменном виде по форме Исполнителя.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 xml:space="preserve">Срок оказания услуг по настоящему Договору: заявки подаются Заказчиком в течение срока действия настоящего Договора. Срок проведения исследований (испытаний) образца, зарегистрированного Исполнителем на основании заявки Заказчика, не должен превышать 30 (Тридцать) рабочих дней с момента регистрации пробы (образца) Заказчиком. 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>Заказчик или представитель Заказчика (нарочный) получает от Исполнителя результаты исследований (испытаний) в виде протокола испытаний. Протоколы испытаний могут отправляться Исполнителем на адрес электронной почты Заказчика.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>При получении протоколов испытаний представителем Заказчика (нарочным) Исполнитель выдает ему результаты при наличии у представителя Заказчика документов, удостоверяющих личность и доверенности на право получения документов.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b/>
          <w:lang w:eastAsia="ru-RU"/>
        </w:rPr>
      </w:pPr>
      <w:r>
        <w:rPr>
          <w:lang w:eastAsia="ru-RU"/>
        </w:rPr>
        <w:t xml:space="preserve"> </w:t>
      </w:r>
      <w:r>
        <w:rPr>
          <w:lang w:eastAsia="ru-RU"/>
        </w:rPr>
        <w:t>Исполнитель по итогам оказания услуг по заявке выдает Заказчику акт об оказании услуг и счёт – фактуру.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 xml:space="preserve">Заказчик в течение 5 (Пять) рабочих дней с момента получения акта об оказании услуг обязан его подписать. После подписания Заказчиком акта об оказании услуг, оказанные Исполнителем услуги считаются принятыми Заказчиком. 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>В случае непредоставления Заказчиком акта об оказании услуг либо мотивированного отказа от принятия услуг по истечении 7 (Семь) рабочих дней с момента получения акта, услуги считаются принятыми Заказчиком.</w:t>
      </w:r>
    </w:p>
    <w:p>
      <w:pPr>
        <w:pStyle w:val="Normal"/>
        <w:ind w:firstLine="709" w:left="709"/>
        <w:jc w:val="both"/>
        <w:rPr/>
      </w:pPr>
      <w:r>
        <w:rPr/>
      </w:r>
    </w:p>
    <w:p>
      <w:pPr>
        <w:pStyle w:val="Normal"/>
        <w:numPr>
          <w:ilvl w:val="0"/>
          <w:numId w:val="3"/>
        </w:numPr>
        <w:ind w:hanging="11" w:left="0"/>
        <w:jc w:val="center"/>
        <w:rPr>
          <w:b/>
        </w:rPr>
      </w:pPr>
      <w:r>
        <w:rPr>
          <w:b/>
        </w:rPr>
        <w:t>Ответственность сторон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 xml:space="preserve">За неисполнение и ненадлежащее исполнение, в том числе за неполное и (или) несвоевременное исполнение своих обязательств по настоящему Договору, Стороны несут ответственность в соответствии с действующим законодательством Российской Федерации и условиями настоящего Договора. 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shd w:fill="FFFFFF" w:val="clear"/>
          <w:lang w:eastAsia="ru-RU"/>
        </w:rPr>
        <w:t xml:space="preserve">За нарушение сроков оказания Услуг Заказчик вправе требовать с Исполнителя уплаты неустойки (пеней) в размере 0,1 % процентов от стоимости не оказанных в срок услуг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shd w:fill="FFFFFF" w:val="clear"/>
          <w:lang w:eastAsia="ru-RU"/>
        </w:rPr>
        <w:t>За нарушение сроков оплаты Исполнитель вправе требовать с Заказчика уплаты неустойки (пеней) в размере 0,1 % процентов от неуплаченной в срок суммы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>За каждый факт неисполнения или ненадлежащего исполнения Заказчиком обязательств, предусмотренных Договором, за исключением просрочки исполнения обязательств, предусмотренных Договором, Исполнитель вправе требовать с Заказчика уплаты штрафа, размер штрафа устанавливается в размере 10% (Десять процентов) от стоимости услуг оказываемых Исполнителем, по которым Заказчик допустил неисполнение или ненадлежащее исполнение обязательств.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rFonts w:eastAsia="Arial Unicode MS"/>
          <w:lang w:eastAsia="ru-RU"/>
        </w:rPr>
        <w:t xml:space="preserve">Стороны освобождаются от ответственности за полное или частичное неисполнение своих обязательств по настоящему Договору в случае, если оно явилось следствием обстоятельств непреодолимой силы, которые Стороны не могли предвидеть или предотвратить (в том числе изменения законодательства). </w:t>
      </w:r>
    </w:p>
    <w:p>
      <w:pPr>
        <w:pStyle w:val="Normal"/>
        <w:ind w:left="709"/>
        <w:jc w:val="both"/>
        <w:rPr/>
      </w:pPr>
      <w:r>
        <w:rPr/>
      </w:r>
    </w:p>
    <w:p>
      <w:pPr>
        <w:pStyle w:val="Normal"/>
        <w:numPr>
          <w:ilvl w:val="0"/>
          <w:numId w:val="3"/>
        </w:numPr>
        <w:ind w:hanging="0" w:left="0"/>
        <w:jc w:val="center"/>
        <w:rPr>
          <w:b/>
        </w:rPr>
      </w:pPr>
      <w:r>
        <w:rPr>
          <w:b/>
        </w:rPr>
        <w:t>Антикоррупционная оговорка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>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дача/получение взятки, коммерческий подкуп, а также действия, нарушающие требования российского антикоррупционного законодательства, установленные, в том числе, Уголовным кодексом Российской Федерации, Кодексом Российской Федерации об административных правонарушениях, Федеральным законом «О противодействии коррупции» и иными нормативными актами, основными требованиями которых являются запрет дачи взяток, запрет получения взяток, запрет коммерческого подкупа и запрет посредничества во взяточничестве.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>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>В случае нарушения одной Стороной обязательств воздерживаться от запрещенных в п.п. 6.1.; 6.2.; 6.3. настоящего договора действий и/или неполучения другой Стороной в установленный настоящим договором срок 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>Сторона, по чьей инициативе был расторгнут настоящий договор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>
      <w:pPr>
        <w:pStyle w:val="Normal"/>
        <w:ind w:left="709"/>
        <w:jc w:val="both"/>
        <w:rPr/>
      </w:pPr>
      <w:r>
        <w:rPr/>
      </w:r>
    </w:p>
    <w:p>
      <w:pPr>
        <w:pStyle w:val="Normal"/>
        <w:numPr>
          <w:ilvl w:val="0"/>
          <w:numId w:val="3"/>
        </w:numPr>
        <w:ind w:hanging="11" w:left="0"/>
        <w:jc w:val="center"/>
        <w:rPr>
          <w:b/>
        </w:rPr>
      </w:pPr>
      <w:r>
        <w:rPr>
          <w:b/>
        </w:rPr>
        <w:t>Порядок урегулирования споров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>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>В случае возникновения разногласий относительно исполнения одной из Сторон своих обязательств, другая Сторона может направить претензию. В отношении всех претензий, направляемых по настоящему Договору, Сторона, к которой адресована данная претензия, должна дать письменный ответ по существу претензии в срок не позднее 10 (десяти) рабочих дней с даты ее получения.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>В случае если по итогам переговоров Стороны не достигнут взаимного согласия по спору (претензия будет оставлена без ответа либо получен отрицательный ответ на претензию в части требований или в полном объеме), спор по истечении 15 (Пятнадцати) календарных дней с момента направления претензии передается на разрешение Арбитражному суду по месту исполнения Договора.</w:t>
      </w:r>
    </w:p>
    <w:p>
      <w:pPr>
        <w:pStyle w:val="Normal"/>
        <w:ind w:left="709"/>
        <w:jc w:val="both"/>
        <w:rPr/>
      </w:pPr>
      <w:r>
        <w:rPr/>
      </w:r>
    </w:p>
    <w:p>
      <w:pPr>
        <w:pStyle w:val="Normal"/>
        <w:numPr>
          <w:ilvl w:val="0"/>
          <w:numId w:val="3"/>
        </w:numPr>
        <w:jc w:val="center"/>
        <w:rPr>
          <w:b/>
        </w:rPr>
      </w:pPr>
      <w:r>
        <w:rPr>
          <w:b/>
        </w:rPr>
        <w:t>Конфиденциальность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>Исполнитель обязуются осуществлять конфиденциальность всей информации, полученной или создаваемой в ходе оказания услуг по исследованиям (испытаниям), за исключением случаев, предусмотренных Федеральным законом от 29.07.2004 № 98-ФЗ «О коммерческой тайне», Федеральным законом от 28.12.2013 № 412-ФЗ «Об аккредитации в национальной системе аккредитации», Федеральным законом от 27.12.2002 № 184-ФЗ «О техническом регулировании», приказом Минэкономразвития России от 24.10.2020 № 704 «</w:t>
      </w:r>
      <w:r>
        <w:rPr>
          <w:bCs/>
          <w:lang w:eastAsia="ru-RU"/>
        </w:rPr>
        <w:t>Об утверждении Положения о составе сведений о результатах деятельности аккредитованных лиц, об изменениях состава их работников и о компетентности этих работников, об изменениях технической оснащенности, представляемых аккредитованными лицами в Федеральную службу по аккредитации, порядке и сроках представления аккредитованными лицами таких сведений в Федеральную службу по аккредитации</w:t>
      </w:r>
      <w:r>
        <w:rPr>
          <w:lang w:eastAsia="ru-RU"/>
        </w:rPr>
        <w:t>», приказами Россельхознадзора, а также в иных случаях, установленных нормативными правовыми актами Российской Федерации.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>Во всем остальном, что не оговорено пунктом 8.1. настоящего Договора, каждая из Сторон обязуется:</w:t>
      </w:r>
    </w:p>
    <w:p>
      <w:pPr>
        <w:pStyle w:val="Normal"/>
        <w:spacing w:before="0" w:after="0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- сохранять конфиденциальность информации, полученной при исполнении данного Договора и принимать все необходимые меры для ее защиты, по меньшей мере, с той же тщательностью, с какой каждая из Сторон охраняет свою собственную конфиденциальную информацию;</w:t>
      </w:r>
    </w:p>
    <w:p>
      <w:pPr>
        <w:pStyle w:val="Normal"/>
        <w:spacing w:before="0" w:after="0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- использовать информацию только в оговоренных в данном разделе случаях и никогда не использовать ее в каких-либо иных целях без предварительного письменного разрешения передавшей Стороны;</w:t>
      </w:r>
    </w:p>
    <w:p>
      <w:pPr>
        <w:pStyle w:val="Normal"/>
        <w:spacing w:before="0" w:after="0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- не передавать информацию третьим сторонам без предварительного письменного разрешения передавшей Стороны.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>Обязательства Сторон в отношении соблюдения конфиденциальности информации сохраняют силу и после прекращения действия настоящего Договора.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 xml:space="preserve">В случае если Заказчиком по договору является физическое лицо, в соответствии с Федеральным законом от 27.07.2006 № 152-ФЗ «О персональных данных», Заказчик дает письменное согласие на обработку персональных данных, являющееся неотъемлемой частью настоящего договора. </w:t>
      </w:r>
    </w:p>
    <w:p>
      <w:pPr>
        <w:pStyle w:val="Normal"/>
        <w:jc w:val="center"/>
        <w:rPr>
          <w:b/>
        </w:rPr>
      </w:pPr>
      <w:r>
        <w:rPr>
          <w:b/>
        </w:rPr>
        <w:t>9. Дополнительные условия договора</w:t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/>
      </w:pPr>
      <w:r>
        <w:rPr>
          <w:lang w:eastAsia="ru-RU"/>
        </w:rPr>
        <w:t xml:space="preserve">Договор вступает в силу с момента подписания его сторонами и действует до «31» декабря 20__ года. Если за один календарный месяц до истечения срока действия настоящего Договора ни одна из Сторон не заявит о его расторжении, то он автоматически пролонгируется на тех же условиях сроком на один год. </w:t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/>
      </w:pPr>
      <w:r>
        <w:rPr/>
        <w:t>На время проведения контрольно-надзорных мероприятий соответствующего территориального Управления Россельхознадзора, действие настоящего договора приостанавливается.</w:t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/>
      </w:pPr>
      <w:r>
        <w:rPr/>
        <w:t xml:space="preserve">В случае проведения в отношении Заказчика Федеральной службой по ветеринарному и фитосанитарному надзору (ее территориальными органами) контрольно-надзорного мероприятия, предусмотренного Федеральным законом от 31.07.2020 № 248-ФЗ «О государственном контроле (надзоре) и муниципальном контроле в Российской Федерации», Заказчик в течение 3 (трёх) рабочих дней обязан письменно уведомить об этом Исполнителя. Стороны принимают все необходимые меры в целях недопущения конфликта интересов при осуществлении контрольно-надзорного мероприятия в отношении Заказчика. С момента получения Исполнителем уведомления, предусмотренного настоящим пунктом Договора, Исполнитель в одностороннем порядке прекращает оказание услуг по настоящему Договору, а Договор считается приостановленным. В случае, если по результатам контрольно-надзорного мероприятия деятельность Заказчика приостановлена, либо проводится процедура по признанию Заказчика несостоятельным (банкротом), либо в отношении Заказчика проводится процедура ликвидации, последний обязан письменно уведомить об этом Исполнителя, и в течение 10 (десяти) рабочих дней оплатить фактически оказанные Исполнителем услуги. По окончании проверки Стороны вправе возобновить работу по Договору на условиях, которые были определены в заключенном Договоре, при этом период проведения проверки, указанной в настоящем пункте, не засчитывается в срок выполнения Исполнителем своих обязательств по настоящему Договору. </w:t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/>
      </w:pPr>
      <w:r>
        <w:rPr/>
        <w:t>Если в течение месяца до окончания срока действия договора ни одна из сторон не заявила возражение о продлении срока его действия, он автоматически продлевается на один год на тех же условиях. Договор может автоматически продлеваться неограниченное количество раз.</w:t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rFonts w:eastAsia="Arial Unicode MS"/>
          <w:lang w:eastAsia="ru-RU"/>
        </w:rPr>
        <w:t>Договор может быть расторгнут по соглашению Сторон, решению суда, а также Стороны вправе в одностороннем порядке по письменному заявлению отказаться от его исполнения по основаниям, предусмотренным Договором и законодательством Российской Федерации.</w:t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>Расторжение настоящего договора в одностороннем порядке осуществляется при условии письменного уведомления не позднее, чем за 20 (Двадцать) календарных дней до даты расторжения договора.</w:t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>Все изменения и дополнения к настоящему Договору действительны лишь в том случае, если они совершены в письменной форме и подписаны уполномоченными на то лицами обеих сторон.</w:t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>Все уведомления между Сторонами, связанные с исполнением настоящего Договора, направляются в письменной форме почтой заказным письмом по фактическому адресу Стороны, указанному в разделе 10 настоящего Договора, или факсимильной связью, электронной почтой. В случае направления уведомлений посредством почты,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факсимильной связи и электронной почты уведомления считаются полученными Стороной в день отправки.</w:t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1134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 xml:space="preserve">Все документы, подписанные во исполнение настоящего Договора (в том числе и сам Договор) и переданные с помощью электронно-технических средств связи (телеграф, факс, электронная почта и т.д.), имеют юридическую силу до обмена оригиналами. Обмен оригиналами обязателен. </w:t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1276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>Настоящий договор составлен на русском языке в двух экземплярах. Один экземпляр для Исполнителя, один экземпляр для Заказчика. Все экземпляры настоящего договора имеют равную юридическую силу.</w:t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1276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>Во всем, что не предусмотрено настоящим Договором, Стороны руководствуются действующим законодательством Российской Федерации.</w:t>
      </w:r>
    </w:p>
    <w:p>
      <w:pPr>
        <w:pStyle w:val="Normal"/>
        <w:ind w:left="709"/>
        <w:jc w:val="both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  <w:t>10. Юридические адреса и реквизиты сторон</w:t>
      </w:r>
    </w:p>
    <w:p>
      <w:pPr>
        <w:pStyle w:val="Normal"/>
        <w:shd w:val="clear" w:color="auto" w:fill="FFFFFF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sectPr>
          <w:type w:val="nextPage"/>
          <w:pgSz w:w="11906" w:h="16838"/>
          <w:pgMar w:left="1134" w:right="567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hd w:val="clear" w:color="auto" w:fill="FFFFFF"/>
        <w:jc w:val="both"/>
        <w:rPr>
          <w:szCs w:val="22"/>
        </w:rPr>
      </w:pPr>
      <w:r>
        <w:rPr>
          <w:b/>
          <w:szCs w:val="22"/>
        </w:rPr>
        <w:t>Исполнитель</w:t>
      </w:r>
      <w:r>
        <w:rPr>
          <w:szCs w:val="22"/>
        </w:rPr>
        <w:t>:</w:t>
      </w:r>
    </w:p>
    <w:p>
      <w:pPr>
        <w:pStyle w:val="ListParagraph"/>
        <w:widowControl w:val="false"/>
        <w:tabs>
          <w:tab w:val="clear" w:pos="708"/>
          <w:tab w:val="left" w:pos="0" w:leader="none"/>
        </w:tabs>
        <w:ind w:left="0"/>
        <w:jc w:val="both"/>
        <w:rPr>
          <w:b/>
          <w:szCs w:val="22"/>
        </w:rPr>
      </w:pPr>
      <w:r>
        <w:rPr>
          <w:szCs w:val="22"/>
        </w:rPr>
        <w:t>Федеральное государственное бюджетное учреждение «Федеральный центр охраны здоровья животных» (ФГБУ «ВНИИЗЖ»</w:t>
      </w:r>
      <w:r>
        <w:rPr>
          <w:b/>
          <w:szCs w:val="22"/>
        </w:rPr>
        <w:t>)</w:t>
      </w:r>
    </w:p>
    <w:p>
      <w:pPr>
        <w:pStyle w:val="ListParagraph"/>
        <w:widowControl w:val="false"/>
        <w:tabs>
          <w:tab w:val="clear" w:pos="708"/>
          <w:tab w:val="left" w:pos="0" w:leader="none"/>
        </w:tabs>
        <w:ind w:left="0"/>
        <w:jc w:val="both"/>
        <w:rPr>
          <w:color w:val="000000"/>
          <w:szCs w:val="22"/>
        </w:rPr>
      </w:pPr>
      <w:r>
        <w:rPr>
          <w:color w:val="000000"/>
          <w:szCs w:val="22"/>
        </w:rPr>
        <w:t xml:space="preserve">Юр. адрес: </w:t>
      </w:r>
      <w:r>
        <w:rPr>
          <w:rStyle w:val="FontStyle39"/>
          <w:szCs w:val="22"/>
        </w:rPr>
        <w:t>600901, Владимирская область, г. Владимир, микрорайон Юрьевец</w:t>
      </w:r>
    </w:p>
    <w:p>
      <w:pPr>
        <w:pStyle w:val="ListParagraph"/>
        <w:widowControl w:val="false"/>
        <w:tabs>
          <w:tab w:val="clear" w:pos="708"/>
          <w:tab w:val="left" w:pos="0" w:leader="none"/>
        </w:tabs>
        <w:ind w:left="0"/>
        <w:jc w:val="both"/>
        <w:rPr>
          <w:color w:val="000000"/>
          <w:szCs w:val="22"/>
        </w:rPr>
      </w:pPr>
      <w:r>
        <w:rPr>
          <w:color w:val="000000"/>
          <w:szCs w:val="22"/>
        </w:rPr>
        <w:t>Факт. адрес:</w:t>
      </w:r>
    </w:p>
    <w:p>
      <w:pPr>
        <w:pStyle w:val="ListParagraph"/>
        <w:widowControl w:val="false"/>
        <w:tabs>
          <w:tab w:val="clear" w:pos="708"/>
          <w:tab w:val="left" w:pos="0" w:leader="none"/>
        </w:tabs>
        <w:ind w:left="0"/>
        <w:jc w:val="both"/>
        <w:rPr>
          <w:color w:val="000000"/>
          <w:szCs w:val="22"/>
        </w:rPr>
      </w:pPr>
      <w:r>
        <w:rPr>
          <w:color w:val="000000"/>
          <w:szCs w:val="22"/>
        </w:rPr>
        <w:t>ОГРН: 1023301283720</w:t>
      </w:r>
    </w:p>
    <w:p>
      <w:pPr>
        <w:pStyle w:val="ListParagraph"/>
        <w:widowControl w:val="false"/>
        <w:tabs>
          <w:tab w:val="clear" w:pos="708"/>
          <w:tab w:val="left" w:pos="0" w:leader="none"/>
        </w:tabs>
        <w:ind w:left="0"/>
        <w:jc w:val="both"/>
        <w:rPr>
          <w:color w:val="000000"/>
          <w:szCs w:val="22"/>
        </w:rPr>
      </w:pPr>
      <w:r>
        <w:rPr>
          <w:color w:val="000000"/>
          <w:szCs w:val="22"/>
        </w:rPr>
        <w:t>ИНН: 3327100048, КПП: 332701001</w:t>
      </w:r>
    </w:p>
    <w:p>
      <w:pPr>
        <w:pStyle w:val="ListParagraph"/>
        <w:widowControl w:val="false"/>
        <w:tabs>
          <w:tab w:val="clear" w:pos="708"/>
          <w:tab w:val="left" w:pos="0" w:leader="none"/>
        </w:tabs>
        <w:ind w:left="0"/>
        <w:jc w:val="both"/>
        <w:rPr>
          <w:szCs w:val="22"/>
        </w:rPr>
      </w:pPr>
      <w:r>
        <w:rPr>
          <w:color w:val="000000"/>
          <w:szCs w:val="22"/>
        </w:rPr>
        <w:t xml:space="preserve">Наименование получателя: </w:t>
      </w:r>
      <w:r>
        <w:rPr>
          <w:szCs w:val="22"/>
        </w:rPr>
        <w:t>УФК по Владимирской области (ФГБУ «ВНИИЗЖ», л/с 20286U93150)</w:t>
      </w:r>
    </w:p>
    <w:p>
      <w:pPr>
        <w:pStyle w:val="ListParagraph"/>
        <w:widowControl w:val="false"/>
        <w:tabs>
          <w:tab w:val="clear" w:pos="708"/>
          <w:tab w:val="left" w:pos="0" w:leader="none"/>
        </w:tabs>
        <w:ind w:left="0"/>
        <w:jc w:val="both"/>
        <w:rPr>
          <w:szCs w:val="22"/>
        </w:rPr>
      </w:pPr>
      <w:r>
        <w:rPr>
          <w:color w:val="000000"/>
          <w:szCs w:val="22"/>
        </w:rPr>
        <w:t xml:space="preserve">КС: </w:t>
      </w:r>
      <w:r>
        <w:rPr>
          <w:szCs w:val="22"/>
        </w:rPr>
        <w:t>03214643000000012800</w:t>
      </w:r>
    </w:p>
    <w:p>
      <w:pPr>
        <w:pStyle w:val="ListParagraph"/>
        <w:widowControl w:val="false"/>
        <w:tabs>
          <w:tab w:val="clear" w:pos="708"/>
          <w:tab w:val="left" w:pos="0" w:leader="none"/>
        </w:tabs>
        <w:ind w:left="0"/>
        <w:jc w:val="both"/>
        <w:rPr>
          <w:szCs w:val="22"/>
        </w:rPr>
      </w:pPr>
      <w:r>
        <w:rPr>
          <w:color w:val="000000"/>
          <w:szCs w:val="22"/>
        </w:rPr>
        <w:t xml:space="preserve">ЕКС: </w:t>
      </w:r>
      <w:r>
        <w:rPr>
          <w:szCs w:val="22"/>
        </w:rPr>
        <w:t>40102810945370000020</w:t>
      </w:r>
    </w:p>
    <w:p>
      <w:pPr>
        <w:pStyle w:val="ListParagraph"/>
        <w:widowControl w:val="false"/>
        <w:tabs>
          <w:tab w:val="clear" w:pos="708"/>
          <w:tab w:val="left" w:pos="0" w:leader="none"/>
        </w:tabs>
        <w:ind w:left="0"/>
        <w:jc w:val="both"/>
        <w:rPr>
          <w:szCs w:val="22"/>
        </w:rPr>
      </w:pPr>
      <w:r>
        <w:rPr>
          <w:color w:val="000000"/>
          <w:szCs w:val="22"/>
        </w:rPr>
        <w:t xml:space="preserve">БИК Банка: </w:t>
      </w:r>
      <w:r>
        <w:rPr>
          <w:szCs w:val="22"/>
        </w:rPr>
        <w:t>011708377</w:t>
      </w:r>
    </w:p>
    <w:p>
      <w:pPr>
        <w:pStyle w:val="ListParagraph"/>
        <w:widowControl w:val="false"/>
        <w:tabs>
          <w:tab w:val="clear" w:pos="708"/>
          <w:tab w:val="left" w:pos="0" w:leader="none"/>
        </w:tabs>
        <w:ind w:left="0"/>
        <w:jc w:val="both"/>
        <w:rPr>
          <w:color w:val="000000"/>
          <w:szCs w:val="22"/>
        </w:rPr>
      </w:pPr>
      <w:r>
        <w:rPr>
          <w:color w:val="000000"/>
          <w:szCs w:val="22"/>
        </w:rPr>
        <w:t xml:space="preserve">Наименование банка: </w:t>
      </w:r>
      <w:r>
        <w:rPr>
          <w:szCs w:val="22"/>
        </w:rPr>
        <w:t>ОТДЕЛЕНИЕ ВЛАДИМИР БАНКА РОССИИ//УФК по Владимирской области г. Владимир</w:t>
      </w:r>
      <w:r>
        <w:rPr>
          <w:color w:val="000000"/>
          <w:szCs w:val="22"/>
        </w:rPr>
        <w:t xml:space="preserve"> </w:t>
      </w:r>
    </w:p>
    <w:p>
      <w:pPr>
        <w:pStyle w:val="Normal"/>
        <w:jc w:val="both"/>
        <w:rPr>
          <w:szCs w:val="22"/>
        </w:rPr>
      </w:pPr>
      <w:r>
        <w:rPr>
          <w:szCs w:val="22"/>
        </w:rPr>
        <w:t>КБК 00000000000000000130 – за услуги</w:t>
      </w:r>
    </w:p>
    <w:p>
      <w:pPr>
        <w:pStyle w:val="Normal"/>
        <w:jc w:val="both"/>
        <w:rPr>
          <w:szCs w:val="22"/>
        </w:rPr>
      </w:pPr>
      <w:r>
        <w:rPr>
          <w:color w:val="000000"/>
          <w:szCs w:val="22"/>
        </w:rPr>
        <w:t xml:space="preserve">Тел./ Факс: </w:t>
      </w:r>
    </w:p>
    <w:p>
      <w:pPr>
        <w:pStyle w:val="Normal"/>
        <w:widowControl w:val="false"/>
        <w:tabs>
          <w:tab w:val="clear" w:pos="708"/>
          <w:tab w:val="left" w:pos="0" w:leader="none"/>
        </w:tabs>
        <w:jc w:val="both"/>
        <w:rPr>
          <w:color w:val="000000"/>
          <w:szCs w:val="22"/>
        </w:rPr>
      </w:pPr>
      <w:r>
        <w:rPr>
          <w:color w:val="000000"/>
          <w:szCs w:val="22"/>
          <w:lang w:val="en-US"/>
        </w:rPr>
        <w:t>E</w:t>
      </w:r>
      <w:r>
        <w:rPr>
          <w:color w:val="000000"/>
          <w:szCs w:val="22"/>
        </w:rPr>
        <w:t>-</w:t>
      </w:r>
      <w:r>
        <w:rPr>
          <w:color w:val="000000"/>
          <w:szCs w:val="22"/>
          <w:lang w:val="en-US"/>
        </w:rPr>
        <w:t>mail</w:t>
      </w:r>
      <w:r>
        <w:rPr>
          <w:color w:val="000000"/>
          <w:szCs w:val="22"/>
        </w:rPr>
        <w:t>:</w:t>
      </w:r>
    </w:p>
    <w:p>
      <w:pPr>
        <w:pStyle w:val="Normal"/>
        <w:jc w:val="both"/>
        <w:rPr>
          <w:rStyle w:val="Hyperlink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>_______________ /________________/</w:t>
      </w:r>
    </w:p>
    <w:p>
      <w:pPr>
        <w:pStyle w:val="Normal"/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>М.П.</w:t>
      </w:r>
    </w:p>
    <w:p>
      <w:pPr>
        <w:pStyle w:val="Normal"/>
        <w:jc w:val="both"/>
        <w:rPr>
          <w:b/>
          <w:szCs w:val="22"/>
        </w:rPr>
      </w:pPr>
      <w:r>
        <w:rPr>
          <w:b/>
          <w:szCs w:val="22"/>
        </w:rPr>
      </w:r>
    </w:p>
    <w:p>
      <w:pPr>
        <w:pStyle w:val="Normal"/>
        <w:jc w:val="both"/>
        <w:rPr>
          <w:b/>
          <w:szCs w:val="22"/>
        </w:rPr>
      </w:pPr>
      <w:r>
        <w:rPr>
          <w:b/>
          <w:szCs w:val="22"/>
        </w:rPr>
      </w:r>
    </w:p>
    <w:p>
      <w:pPr>
        <w:pStyle w:val="Normal"/>
        <w:jc w:val="both"/>
        <w:rPr>
          <w:b/>
          <w:szCs w:val="22"/>
        </w:rPr>
      </w:pPr>
      <w:r>
        <w:rPr>
          <w:b/>
          <w:szCs w:val="22"/>
        </w:rPr>
      </w:r>
    </w:p>
    <w:p>
      <w:pPr>
        <w:pStyle w:val="Normal"/>
        <w:jc w:val="both"/>
        <w:rPr>
          <w:b/>
          <w:szCs w:val="22"/>
        </w:rPr>
      </w:pPr>
      <w:r>
        <w:rPr>
          <w:b/>
          <w:szCs w:val="22"/>
        </w:rPr>
      </w:r>
    </w:p>
    <w:p>
      <w:pPr>
        <w:pStyle w:val="Normal"/>
        <w:jc w:val="both"/>
        <w:rPr>
          <w:b/>
          <w:szCs w:val="22"/>
        </w:rPr>
      </w:pPr>
      <w:r>
        <w:rPr>
          <w:b/>
          <w:szCs w:val="22"/>
        </w:rPr>
      </w:r>
    </w:p>
    <w:p>
      <w:pPr>
        <w:pStyle w:val="Normal"/>
        <w:jc w:val="both"/>
        <w:rPr>
          <w:b/>
          <w:szCs w:val="22"/>
        </w:rPr>
      </w:pPr>
      <w:r>
        <w:rPr>
          <w:b/>
          <w:szCs w:val="22"/>
        </w:rPr>
      </w:r>
    </w:p>
    <w:p>
      <w:pPr>
        <w:pStyle w:val="Normal"/>
        <w:jc w:val="both"/>
        <w:rPr>
          <w:b/>
          <w:szCs w:val="22"/>
        </w:rPr>
      </w:pPr>
      <w:r>
        <w:rPr>
          <w:b/>
          <w:szCs w:val="22"/>
        </w:rPr>
      </w:r>
    </w:p>
    <w:p>
      <w:pPr>
        <w:pStyle w:val="Normal"/>
        <w:jc w:val="both"/>
        <w:rPr>
          <w:b/>
          <w:szCs w:val="22"/>
        </w:rPr>
      </w:pPr>
      <w:r>
        <w:rPr>
          <w:b/>
          <w:szCs w:val="22"/>
        </w:rPr>
      </w:r>
    </w:p>
    <w:p>
      <w:pPr>
        <w:pStyle w:val="Normal"/>
        <w:jc w:val="both"/>
        <w:rPr>
          <w:b/>
          <w:szCs w:val="22"/>
        </w:rPr>
      </w:pPr>
      <w:r>
        <w:rPr>
          <w:b/>
          <w:szCs w:val="22"/>
        </w:rPr>
      </w:r>
    </w:p>
    <w:p>
      <w:pPr>
        <w:pStyle w:val="Normal"/>
        <w:jc w:val="both"/>
        <w:rPr>
          <w:b/>
          <w:szCs w:val="22"/>
        </w:rPr>
      </w:pPr>
      <w:r>
        <w:rPr>
          <w:b/>
          <w:szCs w:val="22"/>
        </w:rPr>
      </w:r>
    </w:p>
    <w:p>
      <w:pPr>
        <w:pStyle w:val="Normal"/>
        <w:jc w:val="both"/>
        <w:rPr>
          <w:b/>
          <w:szCs w:val="22"/>
        </w:rPr>
      </w:pPr>
      <w:r>
        <w:rPr>
          <w:b/>
          <w:szCs w:val="22"/>
        </w:rPr>
      </w:r>
    </w:p>
    <w:p>
      <w:pPr>
        <w:pStyle w:val="Normal"/>
        <w:jc w:val="both"/>
        <w:rPr>
          <w:b/>
          <w:szCs w:val="22"/>
        </w:rPr>
      </w:pPr>
      <w:r>
        <w:rPr>
          <w:b/>
          <w:szCs w:val="22"/>
        </w:rPr>
        <w:t>Заказчик:</w:t>
      </w:r>
    </w:p>
    <w:p>
      <w:pPr>
        <w:pStyle w:val="Normal"/>
        <w:rPr>
          <w:b/>
          <w:szCs w:val="22"/>
        </w:rPr>
      </w:pPr>
      <w:r>
        <w:rPr>
          <w:b/>
          <w:szCs w:val="22"/>
        </w:rPr>
      </w:r>
    </w:p>
    <w:p>
      <w:pPr>
        <w:pStyle w:val="Normal"/>
        <w:rPr>
          <w:bCs/>
          <w:szCs w:val="22"/>
        </w:rPr>
      </w:pPr>
      <w:r>
        <w:rPr>
          <w:bCs/>
          <w:szCs w:val="22"/>
        </w:rPr>
        <w:t>ОГРН</w:t>
      </w:r>
    </w:p>
    <w:p>
      <w:pPr>
        <w:pStyle w:val="Normal"/>
        <w:rPr>
          <w:bCs/>
          <w:szCs w:val="22"/>
        </w:rPr>
      </w:pPr>
      <w:r>
        <w:rPr>
          <w:bCs/>
          <w:szCs w:val="22"/>
        </w:rPr>
        <w:t>ИНН, КПП</w:t>
      </w:r>
    </w:p>
    <w:p>
      <w:pPr>
        <w:pStyle w:val="Normal"/>
        <w:rPr>
          <w:bCs/>
          <w:szCs w:val="22"/>
        </w:rPr>
      </w:pPr>
      <w:r>
        <w:rPr>
          <w:bCs/>
          <w:szCs w:val="22"/>
        </w:rPr>
        <w:t xml:space="preserve">Юридический адрес: </w:t>
      </w:r>
    </w:p>
    <w:p>
      <w:pPr>
        <w:pStyle w:val="Normal"/>
        <w:rPr>
          <w:bCs/>
          <w:szCs w:val="22"/>
        </w:rPr>
      </w:pPr>
      <w:r>
        <w:rPr>
          <w:bCs/>
          <w:szCs w:val="22"/>
        </w:rPr>
      </w:r>
    </w:p>
    <w:p>
      <w:pPr>
        <w:pStyle w:val="Normal"/>
        <w:rPr>
          <w:bCs/>
          <w:szCs w:val="22"/>
        </w:rPr>
      </w:pPr>
      <w:r>
        <w:rPr>
          <w:bCs/>
          <w:szCs w:val="22"/>
        </w:rPr>
        <w:t>Платежные реквизиты:</w:t>
      </w:r>
    </w:p>
    <w:p>
      <w:pPr>
        <w:pStyle w:val="Normal"/>
        <w:rPr>
          <w:bCs/>
          <w:szCs w:val="22"/>
        </w:rPr>
      </w:pPr>
      <w:r>
        <w:rPr>
          <w:bCs/>
          <w:szCs w:val="22"/>
        </w:rPr>
      </w:r>
    </w:p>
    <w:p>
      <w:pPr>
        <w:pStyle w:val="Normal"/>
        <w:rPr>
          <w:bCs/>
          <w:szCs w:val="22"/>
        </w:rPr>
      </w:pPr>
      <w:r>
        <w:rPr>
          <w:bCs/>
          <w:szCs w:val="22"/>
        </w:rPr>
        <w:t xml:space="preserve">Тел.: </w:t>
      </w:r>
    </w:p>
    <w:p>
      <w:pPr>
        <w:pStyle w:val="Normal"/>
        <w:rPr>
          <w:szCs w:val="22"/>
        </w:rPr>
      </w:pPr>
      <w:r>
        <w:rPr>
          <w:bCs/>
          <w:szCs w:val="22"/>
          <w:lang w:val="en-US"/>
        </w:rPr>
        <w:t>e</w:t>
      </w:r>
      <w:r>
        <w:rPr>
          <w:bCs/>
          <w:szCs w:val="22"/>
        </w:rPr>
        <w:t>-</w:t>
      </w:r>
      <w:r>
        <w:rPr>
          <w:bCs/>
          <w:szCs w:val="22"/>
          <w:lang w:val="en-US"/>
        </w:rPr>
        <w:t>mail</w:t>
      </w:r>
      <w:r>
        <w:rPr>
          <w:bCs/>
          <w:szCs w:val="22"/>
        </w:rPr>
        <w:t xml:space="preserve">: </w:t>
      </w:r>
    </w:p>
    <w:p>
      <w:pPr>
        <w:pStyle w:val="Normal"/>
        <w:rPr>
          <w:szCs w:val="22"/>
        </w:rPr>
      </w:pPr>
      <w:r>
        <w:rPr>
          <w:szCs w:val="22"/>
        </w:rPr>
      </w:r>
    </w:p>
    <w:p>
      <w:pPr>
        <w:pStyle w:val="Normal"/>
        <w:rPr>
          <w:szCs w:val="22"/>
        </w:rPr>
      </w:pPr>
      <w:r>
        <w:rPr>
          <w:szCs w:val="22"/>
        </w:rPr>
      </w:r>
    </w:p>
    <w:p>
      <w:pPr>
        <w:pStyle w:val="Normal"/>
        <w:rPr>
          <w:szCs w:val="22"/>
        </w:rPr>
      </w:pPr>
      <w:r>
        <w:rPr>
          <w:szCs w:val="22"/>
        </w:rPr>
      </w:r>
    </w:p>
    <w:p>
      <w:pPr>
        <w:pStyle w:val="Normal"/>
        <w:rPr>
          <w:szCs w:val="22"/>
        </w:rPr>
      </w:pPr>
      <w:r>
        <w:rPr>
          <w:szCs w:val="22"/>
        </w:rPr>
      </w:r>
    </w:p>
    <w:p>
      <w:pPr>
        <w:pStyle w:val="Normal"/>
        <w:rPr>
          <w:szCs w:val="22"/>
        </w:rPr>
      </w:pPr>
      <w:r>
        <w:rPr>
          <w:szCs w:val="22"/>
        </w:rPr>
      </w:r>
    </w:p>
    <w:p>
      <w:pPr>
        <w:pStyle w:val="Normal"/>
        <w:rPr>
          <w:szCs w:val="22"/>
        </w:rPr>
      </w:pPr>
      <w:r>
        <w:rPr>
          <w:szCs w:val="22"/>
        </w:rPr>
      </w:r>
    </w:p>
    <w:p>
      <w:pPr>
        <w:pStyle w:val="Normal"/>
        <w:rPr>
          <w:szCs w:val="22"/>
        </w:rPr>
      </w:pPr>
      <w:r>
        <w:rPr>
          <w:szCs w:val="22"/>
        </w:rPr>
      </w:r>
    </w:p>
    <w:p>
      <w:pPr>
        <w:pStyle w:val="Normal"/>
        <w:rPr>
          <w:szCs w:val="22"/>
        </w:rPr>
      </w:pPr>
      <w:r>
        <w:rPr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Cs w:val="22"/>
        </w:rPr>
      </w:pPr>
      <w:r>
        <w:rPr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_______________/</w:t>
      </w:r>
      <w:r>
        <w:rPr>
          <w:color w:val="000000"/>
          <w:sz w:val="22"/>
          <w:szCs w:val="22"/>
        </w:rPr>
        <w:t>__________________</w:t>
      </w:r>
      <w:r>
        <w:rPr>
          <w:sz w:val="22"/>
          <w:szCs w:val="22"/>
        </w:rPr>
        <w:t xml:space="preserve"> /</w:t>
      </w:r>
    </w:p>
    <w:p>
      <w:pPr>
        <w:pStyle w:val="Normal"/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>М.П.</w:t>
      </w:r>
      <w:bookmarkStart w:id="0" w:name="_GoBack"/>
      <w:bookmarkEnd w:id="0"/>
    </w:p>
    <w:p>
      <w:pPr>
        <w:sectPr>
          <w:type w:val="continuous"/>
          <w:pgSz w:w="11906" w:h="16838"/>
          <w:pgMar w:left="1134" w:right="567" w:gutter="0" w:header="0" w:top="1134" w:footer="0" w:bottom="1134"/>
          <w:cols w:num="2" w:space="720" w:equalWidth="true" w:sep="false"/>
          <w:formProt w:val="false"/>
          <w:textDirection w:val="lrTb"/>
          <w:docGrid w:type="default" w:linePitch="360" w:charSpace="0"/>
        </w:sectPr>
      </w:pPr>
    </w:p>
    <w:p>
      <w:pPr>
        <w:pStyle w:val="Normal"/>
        <w:tabs>
          <w:tab w:val="clear" w:pos="708"/>
          <w:tab w:val="left" w:pos="1276" w:leader="none"/>
        </w:tabs>
        <w:suppressAutoHyphens w:val="false"/>
        <w:jc w:val="both"/>
        <w:rPr/>
      </w:pPr>
      <w:r>
        <w:rPr/>
      </w:r>
    </w:p>
    <w:sectPr>
      <w:type w:val="nextPage"/>
      <w:pgSz w:w="11906" w:h="16838"/>
      <w:pgMar w:left="1134" w:right="567" w:gutter="0" w:header="0" w:top="1134" w:footer="0" w:bottom="1134"/>
      <w:pgNumType w:fmt="decimal"/>
      <w:cols w:num="2" w:space="708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Open Sans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1.%2"/>
      <w:lvlJc w:val="left"/>
      <w:pPr>
        <w:tabs>
          <w:tab w:val="num" w:pos="0"/>
        </w:tabs>
        <w:ind w:left="792" w:hanging="432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false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 w:val="fals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b w:val="fals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b w:val="fals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b w:val="fals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b w:val="fals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b w:val="false"/>
      </w:rPr>
    </w:lvl>
  </w:abstractNum>
  <w:abstractNum w:abstractNumId="2">
    <w:lvl w:ilvl="0">
      <w:start w:val="9"/>
      <w:numFmt w:val="decimal"/>
      <w:lvlText w:val="%1"/>
      <w:lvlJc w:val="left"/>
      <w:pPr>
        <w:tabs>
          <w:tab w:val="num" w:pos="0"/>
        </w:tabs>
        <w:ind w:left="360" w:hanging="360"/>
      </w:pPr>
      <w:rPr>
        <w:sz w:val="24"/>
        <w:b w:val="fals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  <w:rPr>
        <w:sz w:val="24"/>
        <w:b w:val="fals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sz w:val="24"/>
        <w:b w:val="false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sz w:val="24"/>
        <w:b w:val="fals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  <w:rPr>
        <w:sz w:val="24"/>
        <w:b w:val="fals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80" w:hanging="1080"/>
      </w:pPr>
      <w:rPr>
        <w:sz w:val="24"/>
        <w:b w:val="fals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  <w:rPr>
        <w:sz w:val="24"/>
        <w:b w:val="fals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80" w:hanging="1440"/>
      </w:pPr>
      <w:rPr>
        <w:sz w:val="24"/>
        <w:b w:val="fals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200" w:hanging="1440"/>
      </w:pPr>
      <w:rPr>
        <w:sz w:val="24"/>
        <w:b w:val="false"/>
      </w:rPr>
    </w:lvl>
  </w:abstractNum>
  <w:abstractNum w:abstractNumId="3"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1211" w:hanging="360"/>
      </w:pPr>
      <w:rPr>
        <w:b w:val="fals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8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47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6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25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94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03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472" w:hanging="1800"/>
      </w:pPr>
      <w:rPr/>
    </w:lvl>
  </w:abstractNum>
  <w:abstractNum w:abstractNumId="4">
    <w:lvl w:ilvl="0">
      <w:start w:val="1"/>
      <w:numFmt w:val="decimal"/>
      <w:lvlText w:val="2.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2.1.%3"/>
      <w:lvlJc w:val="lef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2.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decimal"/>
      <w:lvlText w:val="2.2.%3"/>
      <w:lvlJc w:val="lef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2.2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decimal"/>
      <w:lvlText w:val="2.3.%3"/>
      <w:lvlJc w:val="lef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7">
    <w:lvl w:ilvl="0">
      <w:start w:val="1"/>
      <w:numFmt w:val="decimal"/>
      <w:lvlText w:val="3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d100e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8d100e"/>
    <w:rPr>
      <w:rFonts w:cs="Times New Roman"/>
      <w:color w:val="0000FF"/>
      <w:u w:val="single"/>
    </w:rPr>
  </w:style>
  <w:style w:type="character" w:styleId="Style14" w:customStyle="1">
    <w:name w:val="Абзац списка Знак"/>
    <w:link w:val="ListParagraph"/>
    <w:uiPriority w:val="34"/>
    <w:qFormat/>
    <w:rsid w:val="008d100e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FontStyle39" w:customStyle="1">
    <w:name w:val="Font Style39"/>
    <w:qFormat/>
    <w:rsid w:val="008d100e"/>
    <w:rPr>
      <w:rFonts w:ascii="Times New Roman" w:hAnsi="Times New Roman" w:cs="Times New Roman"/>
      <w:sz w:val="26"/>
      <w:szCs w:val="26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8d100e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Style16" w:customStyle="1">
    <w:name w:val="Нижний колонтитул Знак"/>
    <w:basedOn w:val="DefaultParagraphFont"/>
    <w:uiPriority w:val="99"/>
    <w:qFormat/>
    <w:rsid w:val="008d100e"/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ejaVu Sans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"/>
    </w:rPr>
  </w:style>
  <w:style w:type="paragraph" w:styleId="ListParagraph">
    <w:name w:val="List Paragraph"/>
    <w:basedOn w:val="Normal"/>
    <w:link w:val="Style14"/>
    <w:uiPriority w:val="34"/>
    <w:qFormat/>
    <w:rsid w:val="008d100e"/>
    <w:pPr>
      <w:ind w:left="708"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8d100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uiPriority w:val="99"/>
    <w:unhideWhenUsed/>
    <w:rsid w:val="008d100e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LibreOffice/24.8.4.1$Linux_X86_64 LibreOffice_project/480$Build-1</Application>
  <AppVersion>15.0000</AppVersion>
  <Pages>8</Pages>
  <Words>2846</Words>
  <Characters>20617</Characters>
  <CharactersWithSpaces>23312</CharactersWithSpaces>
  <Paragraphs>121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2024-05-23T11:30:00Z</dcterms:created>
  <dc:creator>RePack by Diakov</dc:creator>
  <dc:description/>
  <dc:language>ru-RU</dc:language>
  <cp:lastModifiedBy/>
  <dcterms:modified xsi:type="dcterms:W3CDTF">2025-05-30T12:05:42Z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